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160C" w14:textId="77777777" w:rsidR="005001F6" w:rsidRDefault="00E93101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bookmarkStart w:id="0" w:name="_GoBack"/>
      <w:bookmarkEnd w:id="0"/>
      <w:r>
        <w:t xml:space="preserve">The </w:t>
      </w:r>
      <w:r w:rsidR="002B0726">
        <w:rPr>
          <w:i/>
        </w:rPr>
        <w:t xml:space="preserve">Building our </w:t>
      </w:r>
      <w:r w:rsidR="00B228ED">
        <w:rPr>
          <w:i/>
        </w:rPr>
        <w:t>Innovation</w:t>
      </w:r>
      <w:r w:rsidR="00731C04">
        <w:rPr>
          <w:i/>
        </w:rPr>
        <w:t xml:space="preserve"> </w:t>
      </w:r>
      <w:r w:rsidRPr="005001F6">
        <w:rPr>
          <w:i/>
        </w:rPr>
        <w:t>Economy – Advance Queensland Strategy</w:t>
      </w:r>
      <w:r>
        <w:t xml:space="preserve"> </w:t>
      </w:r>
      <w:r w:rsidR="005001F6">
        <w:t xml:space="preserve">(the Strategy) aims to </w:t>
      </w:r>
      <w:r w:rsidR="00CA7486">
        <w:t>drive jobs growth and build Queensland’s future economy through innovation</w:t>
      </w:r>
      <w:r w:rsidR="005001F6">
        <w:t>.</w:t>
      </w:r>
    </w:p>
    <w:p w14:paraId="699F160E" w14:textId="77777777" w:rsidR="005001F6" w:rsidRDefault="005001F6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t xml:space="preserve">The Strategy identifies strategic priorities and actions that inform the future of </w:t>
      </w:r>
      <w:r w:rsidR="00CA7486">
        <w:t xml:space="preserve">the Queensland Government’s </w:t>
      </w:r>
      <w:r>
        <w:t xml:space="preserve">Advance </w:t>
      </w:r>
      <w:r w:rsidR="00B228ED">
        <w:t>Queensland</w:t>
      </w:r>
      <w:r w:rsidR="00CA7486">
        <w:t xml:space="preserve"> initiative</w:t>
      </w:r>
      <w:r w:rsidR="00DB06DA">
        <w:t>.</w:t>
      </w:r>
      <w:r w:rsidR="00B228ED">
        <w:t xml:space="preserve"> It</w:t>
      </w:r>
      <w:r>
        <w:t xml:space="preserve"> will focus the state’s innovation effort toward creating new jobs and economic growth across Queensland’s regions.</w:t>
      </w:r>
    </w:p>
    <w:p w14:paraId="699F1610" w14:textId="77777777" w:rsidR="005001F6" w:rsidRDefault="005001F6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t>Stakeholder feedback resoundingly endorses the future direction of Advance Queensland outlined in the Strategy.</w:t>
      </w:r>
    </w:p>
    <w:p w14:paraId="699F1612" w14:textId="77777777" w:rsidR="00EB4654" w:rsidRDefault="005001F6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t>Through collaboration and targeted efforts, Advance Queensland will</w:t>
      </w:r>
      <w:r w:rsidR="00EB4654">
        <w:t xml:space="preserve"> focus our efforts on </w:t>
      </w:r>
      <w:r w:rsidR="00731C04">
        <w:t>four</w:t>
      </w:r>
      <w:r w:rsidR="00EB4654">
        <w:t xml:space="preserve"> key </w:t>
      </w:r>
      <w:r w:rsidR="007F6042">
        <w:t>priorities</w:t>
      </w:r>
      <w:r w:rsidR="00EB4654">
        <w:t xml:space="preserve"> to:</w:t>
      </w:r>
    </w:p>
    <w:p w14:paraId="699F1613" w14:textId="77777777" w:rsidR="00EB4654" w:rsidRPr="00EB4654" w:rsidRDefault="00E84725" w:rsidP="001C536F">
      <w:pPr>
        <w:pStyle w:val="ListParagraph"/>
        <w:numPr>
          <w:ilvl w:val="2"/>
          <w:numId w:val="2"/>
        </w:numPr>
        <w:tabs>
          <w:tab w:val="left" w:pos="426"/>
          <w:tab w:val="left" w:pos="2140"/>
          <w:tab w:val="left" w:pos="2141"/>
        </w:tabs>
        <w:spacing w:before="120" w:line="237" w:lineRule="auto"/>
        <w:ind w:left="870" w:right="3"/>
        <w:jc w:val="left"/>
      </w:pPr>
      <w:r w:rsidRPr="00EB4654">
        <w:t>B</w:t>
      </w:r>
      <w:r>
        <w:t>uild on Queensland’s</w:t>
      </w:r>
      <w:r w:rsidR="005001F6" w:rsidRPr="00EB4654">
        <w:t xml:space="preserve"> </w:t>
      </w:r>
      <w:r w:rsidR="00EB4654" w:rsidRPr="00EB4654">
        <w:t>strengths</w:t>
      </w:r>
    </w:p>
    <w:p w14:paraId="699F1614" w14:textId="77777777" w:rsidR="00EB4654" w:rsidRPr="00EB4654" w:rsidRDefault="00E84725" w:rsidP="001C536F">
      <w:pPr>
        <w:pStyle w:val="ListParagraph"/>
        <w:numPr>
          <w:ilvl w:val="2"/>
          <w:numId w:val="2"/>
        </w:numPr>
        <w:tabs>
          <w:tab w:val="left" w:pos="426"/>
          <w:tab w:val="left" w:pos="2140"/>
          <w:tab w:val="left" w:pos="2141"/>
        </w:tabs>
        <w:spacing w:before="120" w:line="237" w:lineRule="auto"/>
        <w:ind w:left="870" w:right="3"/>
        <w:jc w:val="left"/>
      </w:pPr>
      <w:r>
        <w:t>Back our regions to compete globally</w:t>
      </w:r>
    </w:p>
    <w:p w14:paraId="699F1615" w14:textId="77777777" w:rsidR="00EB4654" w:rsidRPr="00EB4654" w:rsidRDefault="007F6042" w:rsidP="001C536F">
      <w:pPr>
        <w:pStyle w:val="ListParagraph"/>
        <w:numPr>
          <w:ilvl w:val="2"/>
          <w:numId w:val="2"/>
        </w:numPr>
        <w:tabs>
          <w:tab w:val="left" w:pos="426"/>
          <w:tab w:val="left" w:pos="2140"/>
          <w:tab w:val="left" w:pos="2141"/>
        </w:tabs>
        <w:spacing w:before="120" w:line="237" w:lineRule="auto"/>
        <w:ind w:left="870" w:right="3"/>
        <w:jc w:val="left"/>
      </w:pPr>
      <w:r>
        <w:t xml:space="preserve">Scale </w:t>
      </w:r>
      <w:r w:rsidR="00E84725">
        <w:t>up local solutions for new markets</w:t>
      </w:r>
    </w:p>
    <w:p w14:paraId="699F1616" w14:textId="77777777" w:rsidR="00EB4654" w:rsidRPr="00EB4654" w:rsidRDefault="00E84725" w:rsidP="001C536F">
      <w:pPr>
        <w:pStyle w:val="ListParagraph"/>
        <w:numPr>
          <w:ilvl w:val="2"/>
          <w:numId w:val="2"/>
        </w:numPr>
        <w:tabs>
          <w:tab w:val="left" w:pos="426"/>
          <w:tab w:val="left" w:pos="2140"/>
          <w:tab w:val="left" w:pos="2141"/>
        </w:tabs>
        <w:spacing w:before="120" w:line="237" w:lineRule="auto"/>
        <w:ind w:left="870" w:right="3"/>
        <w:jc w:val="left"/>
      </w:pPr>
      <w:r>
        <w:t>Invest in science and technology to create jobs</w:t>
      </w:r>
      <w:r w:rsidR="00DB06DA">
        <w:t>.</w:t>
      </w:r>
    </w:p>
    <w:p w14:paraId="699F1618" w14:textId="2F8F8792" w:rsidR="00CA7486" w:rsidRDefault="00CA7486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 noted</w:t>
      </w:r>
      <w:r>
        <w:t xml:space="preserve"> the outcomes of </w:t>
      </w:r>
      <w:r w:rsidR="00DB06DA">
        <w:t xml:space="preserve">public </w:t>
      </w:r>
      <w:r>
        <w:t>consultation</w:t>
      </w:r>
      <w:r w:rsidR="00DB06DA">
        <w:t xml:space="preserve"> in the </w:t>
      </w:r>
      <w:r w:rsidR="00DB06DA" w:rsidRPr="00DB06DA">
        <w:rPr>
          <w:i/>
        </w:rPr>
        <w:t>Building Our Innovation Economy – Advance Queensland Strategy</w:t>
      </w:r>
      <w:r w:rsidR="00C65B65">
        <w:rPr>
          <w:i/>
        </w:rPr>
        <w:t xml:space="preserve"> Consultation Report</w:t>
      </w:r>
      <w:r w:rsidR="00E84725">
        <w:t>.</w:t>
      </w:r>
    </w:p>
    <w:p w14:paraId="699F161A" w14:textId="77777777" w:rsidR="00131427" w:rsidRPr="00131427" w:rsidRDefault="00131427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131427">
        <w:rPr>
          <w:u w:val="single"/>
        </w:rPr>
        <w:t>Cabinet noted</w:t>
      </w:r>
      <w:r w:rsidRPr="00131427">
        <w:t xml:space="preserve"> the status of the immediate actions in the </w:t>
      </w:r>
      <w:r w:rsidRPr="00131427">
        <w:rPr>
          <w:i/>
        </w:rPr>
        <w:t>Building our Innovation Economy – Advance Queensland Strategy</w:t>
      </w:r>
      <w:r w:rsidRPr="00131427">
        <w:t>.</w:t>
      </w:r>
    </w:p>
    <w:p w14:paraId="699F161C" w14:textId="77777777" w:rsidR="00AB57CB" w:rsidRPr="007F6042" w:rsidRDefault="00E93101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 w:rsidRPr="007F6042">
        <w:rPr>
          <w:u w:val="single"/>
        </w:rPr>
        <w:t>Cabinet approved</w:t>
      </w:r>
      <w:r w:rsidRPr="007F6042">
        <w:t xml:space="preserve"> the release of the </w:t>
      </w:r>
      <w:r w:rsidR="002B0726" w:rsidRPr="007F6042">
        <w:rPr>
          <w:i/>
        </w:rPr>
        <w:t xml:space="preserve">Building our </w:t>
      </w:r>
      <w:r w:rsidR="00B228ED" w:rsidRPr="007F6042">
        <w:rPr>
          <w:i/>
        </w:rPr>
        <w:t>Innovation</w:t>
      </w:r>
      <w:r w:rsidR="00731C04" w:rsidRPr="007F6042">
        <w:rPr>
          <w:i/>
        </w:rPr>
        <w:t xml:space="preserve"> </w:t>
      </w:r>
      <w:r w:rsidRPr="007F6042">
        <w:rPr>
          <w:i/>
        </w:rPr>
        <w:t xml:space="preserve">Economy – Advance </w:t>
      </w:r>
      <w:r w:rsidR="00B228ED" w:rsidRPr="007F6042">
        <w:rPr>
          <w:i/>
        </w:rPr>
        <w:t>Queensland Strategy</w:t>
      </w:r>
      <w:r w:rsidRPr="007F6042">
        <w:t>.</w:t>
      </w:r>
    </w:p>
    <w:p w14:paraId="699F161E" w14:textId="062242A5" w:rsidR="00AB57CB" w:rsidRDefault="00E93101" w:rsidP="001C536F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</w:pPr>
      <w:r w:rsidRPr="00C65B65">
        <w:rPr>
          <w:i/>
          <w:spacing w:val="-4"/>
          <w:u w:val="single"/>
        </w:rPr>
        <w:t>Attachments</w:t>
      </w:r>
    </w:p>
    <w:p w14:paraId="699F161F" w14:textId="009CEF24" w:rsidR="00AB57CB" w:rsidRDefault="00A513CF" w:rsidP="001C536F">
      <w:pPr>
        <w:pStyle w:val="ListParagraph"/>
        <w:numPr>
          <w:ilvl w:val="2"/>
          <w:numId w:val="2"/>
        </w:numPr>
        <w:tabs>
          <w:tab w:val="left" w:pos="426"/>
          <w:tab w:val="left" w:pos="2140"/>
          <w:tab w:val="left" w:pos="2141"/>
        </w:tabs>
        <w:spacing w:before="120" w:line="237" w:lineRule="auto"/>
        <w:ind w:left="870" w:right="3"/>
        <w:jc w:val="left"/>
      </w:pPr>
      <w:hyperlink r:id="rId10" w:history="1">
        <w:r w:rsidR="002B0726" w:rsidRPr="00BF0379">
          <w:rPr>
            <w:rStyle w:val="Hyperlink"/>
            <w:i/>
          </w:rPr>
          <w:t xml:space="preserve">Building our </w:t>
        </w:r>
        <w:r w:rsidR="00731C04" w:rsidRPr="00BF0379">
          <w:rPr>
            <w:rStyle w:val="Hyperlink"/>
            <w:i/>
          </w:rPr>
          <w:t xml:space="preserve">Innovation </w:t>
        </w:r>
        <w:r w:rsidR="00E93101" w:rsidRPr="00BF0379">
          <w:rPr>
            <w:rStyle w:val="Hyperlink"/>
            <w:i/>
          </w:rPr>
          <w:t>Economy – Advance Queensland Strategy</w:t>
        </w:r>
      </w:hyperlink>
    </w:p>
    <w:sectPr w:rsidR="00AB57CB" w:rsidSect="00D77A81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2F536" w14:textId="77777777" w:rsidR="00BA4F91" w:rsidRDefault="00BA4F91" w:rsidP="00D77A81">
      <w:r>
        <w:separator/>
      </w:r>
    </w:p>
  </w:endnote>
  <w:endnote w:type="continuationSeparator" w:id="0">
    <w:p w14:paraId="69CC6651" w14:textId="77777777" w:rsidR="00BA4F91" w:rsidRDefault="00BA4F91" w:rsidP="00D7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9BE44" w14:textId="77777777" w:rsidR="00BA4F91" w:rsidRDefault="00BA4F91" w:rsidP="00D77A81">
      <w:r>
        <w:separator/>
      </w:r>
    </w:p>
  </w:footnote>
  <w:footnote w:type="continuationSeparator" w:id="0">
    <w:p w14:paraId="1DC04262" w14:textId="77777777" w:rsidR="00BA4F91" w:rsidRDefault="00BA4F91" w:rsidP="00D7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F1624" w14:textId="77777777" w:rsidR="00D77A81" w:rsidRPr="00937A4A" w:rsidRDefault="00D77A81" w:rsidP="00D77A8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99F1625" w14:textId="77777777" w:rsidR="00D77A81" w:rsidRPr="00937A4A" w:rsidRDefault="00D77A81" w:rsidP="00D77A8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699F1626" w14:textId="680C5CDC" w:rsidR="00D77A81" w:rsidRPr="00937A4A" w:rsidRDefault="00D77A81" w:rsidP="00D77A8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B05037">
      <w:rPr>
        <w:b/>
      </w:rPr>
      <w:t>October 2019</w:t>
    </w:r>
  </w:p>
  <w:p w14:paraId="699F1627" w14:textId="77777777" w:rsidR="00D77A81" w:rsidRDefault="002B0726" w:rsidP="00D77A81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Building our </w:t>
    </w:r>
    <w:r w:rsidR="005001F6">
      <w:rPr>
        <w:b/>
        <w:u w:val="single"/>
      </w:rPr>
      <w:t>Innovation</w:t>
    </w:r>
    <w:r w:rsidR="00731C04">
      <w:rPr>
        <w:b/>
        <w:u w:val="single"/>
      </w:rPr>
      <w:t xml:space="preserve"> </w:t>
    </w:r>
    <w:r w:rsidR="00D77A81">
      <w:rPr>
        <w:b/>
        <w:u w:val="single"/>
      </w:rPr>
      <w:t xml:space="preserve">Economy – Advance Queensland </w:t>
    </w:r>
    <w:r w:rsidR="005001F6">
      <w:rPr>
        <w:b/>
        <w:u w:val="single"/>
      </w:rPr>
      <w:t>Strategy</w:t>
    </w:r>
  </w:p>
  <w:p w14:paraId="699F1628" w14:textId="77777777" w:rsidR="00D77A81" w:rsidRDefault="00D77A81" w:rsidP="00D77A81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Minister for Innovation and Tourism Industry Development and Minister for </w:t>
    </w:r>
    <w:r w:rsidR="00C11F70">
      <w:rPr>
        <w:b/>
        <w:u w:val="single"/>
      </w:rPr>
      <w:t>Cross River Rail</w:t>
    </w:r>
  </w:p>
  <w:p w14:paraId="699F1629" w14:textId="77777777" w:rsidR="00D77A81" w:rsidRDefault="00D77A81" w:rsidP="00D77A8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225A"/>
    <w:multiLevelType w:val="hybridMultilevel"/>
    <w:tmpl w:val="29F0499A"/>
    <w:lvl w:ilvl="0" w:tplc="6F2ED290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90AC1F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C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3" w:tplc="6786E716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B8BEC2EE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B70260B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D3F4BA32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8C5C3744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785CF6D4"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1" w15:restartNumberingAfterBreak="0">
    <w:nsid w:val="2DCB7345"/>
    <w:multiLevelType w:val="hybridMultilevel"/>
    <w:tmpl w:val="E4984A6C"/>
    <w:lvl w:ilvl="0" w:tplc="6F2ED290">
      <w:start w:val="1"/>
      <w:numFmt w:val="decimal"/>
      <w:lvlText w:val="%1."/>
      <w:lvlJc w:val="left"/>
      <w:pPr>
        <w:ind w:left="70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90AC1FA">
      <w:numFmt w:val="bullet"/>
      <w:lvlText w:val=""/>
      <w:lvlJc w:val="left"/>
      <w:pPr>
        <w:ind w:left="214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B4A9242"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6786E716">
      <w:numFmt w:val="bullet"/>
      <w:lvlText w:val="•"/>
      <w:lvlJc w:val="left"/>
      <w:pPr>
        <w:ind w:left="3821" w:hanging="360"/>
      </w:pPr>
      <w:rPr>
        <w:rFonts w:hint="default"/>
      </w:rPr>
    </w:lvl>
    <w:lvl w:ilvl="4" w:tplc="B8BEC2EE"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B70260B8">
      <w:numFmt w:val="bullet"/>
      <w:lvlText w:val="•"/>
      <w:lvlJc w:val="left"/>
      <w:pPr>
        <w:ind w:left="5502" w:hanging="360"/>
      </w:pPr>
      <w:rPr>
        <w:rFonts w:hint="default"/>
      </w:rPr>
    </w:lvl>
    <w:lvl w:ilvl="6" w:tplc="D3F4BA32">
      <w:numFmt w:val="bullet"/>
      <w:lvlText w:val="•"/>
      <w:lvlJc w:val="left"/>
      <w:pPr>
        <w:ind w:left="6343" w:hanging="360"/>
      </w:pPr>
      <w:rPr>
        <w:rFonts w:hint="default"/>
      </w:rPr>
    </w:lvl>
    <w:lvl w:ilvl="7" w:tplc="8C5C3744">
      <w:numFmt w:val="bullet"/>
      <w:lvlText w:val="•"/>
      <w:lvlJc w:val="left"/>
      <w:pPr>
        <w:ind w:left="7184" w:hanging="360"/>
      </w:pPr>
      <w:rPr>
        <w:rFonts w:hint="default"/>
      </w:rPr>
    </w:lvl>
    <w:lvl w:ilvl="8" w:tplc="785CF6D4"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7CB"/>
    <w:rsid w:val="0005054F"/>
    <w:rsid w:val="00077ED1"/>
    <w:rsid w:val="00131427"/>
    <w:rsid w:val="00143732"/>
    <w:rsid w:val="001C536F"/>
    <w:rsid w:val="002B0726"/>
    <w:rsid w:val="005001F6"/>
    <w:rsid w:val="00634C70"/>
    <w:rsid w:val="00731C04"/>
    <w:rsid w:val="007C0683"/>
    <w:rsid w:val="007F6042"/>
    <w:rsid w:val="0081493E"/>
    <w:rsid w:val="00982FAD"/>
    <w:rsid w:val="00991CD0"/>
    <w:rsid w:val="009D02D3"/>
    <w:rsid w:val="00A513CF"/>
    <w:rsid w:val="00AB57CB"/>
    <w:rsid w:val="00AB7BE7"/>
    <w:rsid w:val="00B05037"/>
    <w:rsid w:val="00B228ED"/>
    <w:rsid w:val="00BA4F91"/>
    <w:rsid w:val="00BF0379"/>
    <w:rsid w:val="00C11F70"/>
    <w:rsid w:val="00C449B5"/>
    <w:rsid w:val="00C65B65"/>
    <w:rsid w:val="00CA7486"/>
    <w:rsid w:val="00CB15F0"/>
    <w:rsid w:val="00D04405"/>
    <w:rsid w:val="00D31554"/>
    <w:rsid w:val="00D56CD6"/>
    <w:rsid w:val="00D77A81"/>
    <w:rsid w:val="00DB06DA"/>
    <w:rsid w:val="00E215B1"/>
    <w:rsid w:val="00E84725"/>
    <w:rsid w:val="00E93101"/>
    <w:rsid w:val="00EA30F0"/>
    <w:rsid w:val="00EB4654"/>
    <w:rsid w:val="00FB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1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1"/>
      <w:ind w:left="792" w:right="82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19"/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7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8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7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8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B7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E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E7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E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03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FB5F6-B1EC-40C8-B824-AC9EC38A8A4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18DAA6F-2231-40E0-B90A-3621C9063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6DDCF2-21FD-4155-8F87-D88586F75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176</Words>
  <Characters>1090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Base>https://www.cabinet.qld.gov.au/documents/2019/Oct/AQStr/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2019-12-13T00:31:00Z</cp:lastPrinted>
  <dcterms:created xsi:type="dcterms:W3CDTF">2019-10-17T02:39:00Z</dcterms:created>
  <dcterms:modified xsi:type="dcterms:W3CDTF">2020-04-22T01:11:00Z</dcterms:modified>
  <cp:category>Innovation,Economic_Development,Regional_Development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0x010100DDE14CFDD070B24F85F5DE43654FF01E</vt:lpwstr>
  </property>
</Properties>
</file>